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A2" w:rsidRDefault="003257A2" w:rsidP="003B64C8">
      <w:pPr>
        <w:spacing w:after="0"/>
        <w:jc w:val="center"/>
        <w:rPr>
          <w:b/>
          <w:bCs/>
          <w:sz w:val="24"/>
          <w:szCs w:val="24"/>
        </w:rPr>
      </w:pPr>
      <w:r w:rsidRPr="003257A2">
        <w:rPr>
          <w:b/>
          <w:bCs/>
          <w:sz w:val="24"/>
          <w:szCs w:val="24"/>
        </w:rPr>
        <w:t>Le règlement des litiges</w:t>
      </w:r>
      <w:r w:rsidR="003B64C8">
        <w:rPr>
          <w:b/>
          <w:bCs/>
          <w:sz w:val="24"/>
          <w:szCs w:val="24"/>
        </w:rPr>
        <w:t xml:space="preserve"> </w:t>
      </w:r>
      <w:r w:rsidRPr="003257A2">
        <w:rPr>
          <w:b/>
          <w:bCs/>
          <w:sz w:val="24"/>
          <w:szCs w:val="24"/>
        </w:rPr>
        <w:t>dans les marchés publics</w:t>
      </w:r>
    </w:p>
    <w:p w:rsidR="003257A2" w:rsidRDefault="003257A2" w:rsidP="003257A2">
      <w:pPr>
        <w:spacing w:after="0"/>
        <w:jc w:val="center"/>
        <w:rPr>
          <w:b/>
          <w:bCs/>
          <w:sz w:val="24"/>
          <w:szCs w:val="24"/>
        </w:rPr>
      </w:pPr>
      <w:r>
        <w:rPr>
          <w:b/>
          <w:bCs/>
          <w:sz w:val="24"/>
          <w:szCs w:val="24"/>
        </w:rPr>
        <w:t xml:space="preserve">Intégration des nouvelles procédures  du  code de 2015 </w:t>
      </w:r>
    </w:p>
    <w:p w:rsidR="003257A2" w:rsidRPr="003B64C8" w:rsidRDefault="003B64C8" w:rsidP="003B64C8">
      <w:pPr>
        <w:spacing w:after="0"/>
        <w:jc w:val="center"/>
        <w:rPr>
          <w:b/>
          <w:bCs/>
          <w:sz w:val="24"/>
          <w:szCs w:val="24"/>
        </w:rPr>
      </w:pPr>
      <w:r w:rsidRPr="003B64C8">
        <w:rPr>
          <w:b/>
          <w:bCs/>
          <w:sz w:val="24"/>
          <w:szCs w:val="24"/>
        </w:rPr>
        <w:t xml:space="preserve">A l’hôtel " el HOCINE"  </w:t>
      </w:r>
      <w:proofErr w:type="spellStart"/>
      <w:r w:rsidRPr="003B64C8">
        <w:rPr>
          <w:b/>
          <w:bCs/>
          <w:sz w:val="24"/>
          <w:szCs w:val="24"/>
        </w:rPr>
        <w:t>ali</w:t>
      </w:r>
      <w:proofErr w:type="spellEnd"/>
      <w:r w:rsidRPr="003B64C8">
        <w:rPr>
          <w:b/>
          <w:bCs/>
          <w:sz w:val="24"/>
          <w:szCs w:val="24"/>
        </w:rPr>
        <w:t xml:space="preserve"> </w:t>
      </w:r>
      <w:proofErr w:type="spellStart"/>
      <w:r w:rsidRPr="003B64C8">
        <w:rPr>
          <w:b/>
          <w:bCs/>
          <w:sz w:val="24"/>
          <w:szCs w:val="24"/>
        </w:rPr>
        <w:t>mendjeli</w:t>
      </w:r>
      <w:proofErr w:type="spellEnd"/>
      <w:r w:rsidRPr="003B64C8">
        <w:rPr>
          <w:b/>
          <w:bCs/>
          <w:sz w:val="24"/>
          <w:szCs w:val="24"/>
        </w:rPr>
        <w:t xml:space="preserve"> Constantine les jours de 12 et 13 Avril 2017</w:t>
      </w:r>
    </w:p>
    <w:p w:rsidR="003B64C8" w:rsidRDefault="003B64C8" w:rsidP="003257A2">
      <w:pPr>
        <w:spacing w:after="0"/>
        <w:jc w:val="both"/>
        <w:rPr>
          <w:sz w:val="24"/>
          <w:szCs w:val="24"/>
        </w:rPr>
      </w:pPr>
    </w:p>
    <w:p w:rsidR="003257A2" w:rsidRDefault="003257A2" w:rsidP="003257A2">
      <w:pPr>
        <w:jc w:val="both"/>
        <w:rPr>
          <w:sz w:val="24"/>
          <w:szCs w:val="24"/>
        </w:rPr>
      </w:pPr>
      <w:r w:rsidRPr="003257A2">
        <w:rPr>
          <w:sz w:val="24"/>
          <w:szCs w:val="24"/>
        </w:rPr>
        <w:t xml:space="preserve"> </w:t>
      </w:r>
      <w:r w:rsidRPr="00D558C1">
        <w:rPr>
          <w:sz w:val="24"/>
          <w:szCs w:val="24"/>
        </w:rPr>
        <w:t>L’objectif de notre  rencontre est de faire une présentation des litiges qui émaillent l'attribution et l'exécution des marchés publics et une explication  des nouvelles  règles et  procédures de règlement introduites par le code des marchés publics de 2015</w:t>
      </w:r>
      <w:r>
        <w:rPr>
          <w:sz w:val="24"/>
          <w:szCs w:val="24"/>
        </w:rPr>
        <w:t xml:space="preserve">. </w:t>
      </w:r>
      <w:r w:rsidRPr="00D558C1">
        <w:rPr>
          <w:sz w:val="24"/>
          <w:szCs w:val="24"/>
        </w:rPr>
        <w:t>La présentation ainsi que les débats   outilleront  les participants dans les marchés publics et leur permettront  d'utiliser les nouvelles possibilités et procédures   pour le règlement des litiges, quelque soient leur nature, d’une façon adéquate et appropriée.</w:t>
      </w:r>
    </w:p>
    <w:p w:rsidR="003257A2" w:rsidRDefault="003257A2" w:rsidP="003257A2">
      <w:pPr>
        <w:jc w:val="both"/>
        <w:rPr>
          <w:sz w:val="24"/>
          <w:szCs w:val="24"/>
        </w:rPr>
      </w:pPr>
      <w:r>
        <w:rPr>
          <w:sz w:val="24"/>
          <w:szCs w:val="24"/>
        </w:rPr>
        <w:t>Le séminaire portera sur les ponts suivants :</w:t>
      </w:r>
    </w:p>
    <w:p w:rsidR="003257A2" w:rsidRPr="003257A2" w:rsidRDefault="003257A2" w:rsidP="003257A2">
      <w:pPr>
        <w:jc w:val="both"/>
        <w:rPr>
          <w:rFonts w:ascii="Trebuchet MS" w:hAnsi="Trebuchet MS" w:cs="Times-Roman"/>
          <w:color w:val="000000" w:themeColor="text1"/>
          <w:sz w:val="24"/>
          <w:szCs w:val="24"/>
        </w:rPr>
      </w:pPr>
      <w:r w:rsidRPr="003257A2">
        <w:rPr>
          <w:rFonts w:eastAsia="Times New Roman" w:cs="Arial"/>
          <w:b/>
          <w:bCs/>
          <w:color w:val="000000" w:themeColor="text1"/>
          <w:sz w:val="24"/>
          <w:szCs w:val="24"/>
        </w:rPr>
        <w:t xml:space="preserve"> Quels sont les cas de déclenchement des litiges d’attribution des marchés publics ?</w:t>
      </w:r>
    </w:p>
    <w:p w:rsidR="003257A2" w:rsidRPr="0079511E" w:rsidRDefault="003257A2" w:rsidP="003257A2">
      <w:pPr>
        <w:pStyle w:val="Paragraphedeliste"/>
        <w:numPr>
          <w:ilvl w:val="0"/>
          <w:numId w:val="1"/>
        </w:numPr>
        <w:spacing w:after="0"/>
        <w:rPr>
          <w:rFonts w:eastAsiaTheme="minorEastAsia" w:cs="Times-Roman"/>
          <w:sz w:val="24"/>
          <w:szCs w:val="24"/>
        </w:rPr>
      </w:pPr>
      <w:r w:rsidRPr="0079511E">
        <w:rPr>
          <w:rFonts w:eastAsiaTheme="minorEastAsia" w:cs="Times-Roman"/>
          <w:sz w:val="24"/>
          <w:szCs w:val="24"/>
        </w:rPr>
        <w:t>L’attribution provisoire d’un marché ou son annulation</w:t>
      </w:r>
      <w:r>
        <w:rPr>
          <w:rFonts w:eastAsiaTheme="minorEastAsia" w:cs="Times-Roman"/>
          <w:sz w:val="24"/>
          <w:szCs w:val="24"/>
        </w:rPr>
        <w:t> ;</w:t>
      </w:r>
    </w:p>
    <w:p w:rsidR="003257A2" w:rsidRPr="0079511E" w:rsidRDefault="003257A2" w:rsidP="003257A2">
      <w:pPr>
        <w:pStyle w:val="Paragraphedeliste"/>
        <w:numPr>
          <w:ilvl w:val="0"/>
          <w:numId w:val="1"/>
        </w:numPr>
        <w:spacing w:after="0"/>
        <w:rPr>
          <w:rFonts w:eastAsiaTheme="minorEastAsia" w:cs="Times-Roman"/>
          <w:sz w:val="24"/>
          <w:szCs w:val="24"/>
        </w:rPr>
      </w:pPr>
      <w:r w:rsidRPr="0079511E">
        <w:rPr>
          <w:rFonts w:eastAsiaTheme="minorEastAsia" w:cs="Times-Roman"/>
          <w:sz w:val="24"/>
          <w:szCs w:val="24"/>
        </w:rPr>
        <w:t>La déclaration d’</w:t>
      </w:r>
      <w:proofErr w:type="spellStart"/>
      <w:r w:rsidRPr="0079511E">
        <w:rPr>
          <w:rFonts w:eastAsiaTheme="minorEastAsia" w:cs="Times-Roman"/>
          <w:sz w:val="24"/>
          <w:szCs w:val="24"/>
        </w:rPr>
        <w:t>infructuosité</w:t>
      </w:r>
      <w:proofErr w:type="spellEnd"/>
      <w:r w:rsidRPr="0079511E">
        <w:rPr>
          <w:rFonts w:eastAsiaTheme="minorEastAsia" w:cs="Times-Roman"/>
          <w:sz w:val="24"/>
          <w:szCs w:val="24"/>
        </w:rPr>
        <w:t> ;</w:t>
      </w:r>
    </w:p>
    <w:p w:rsidR="003257A2" w:rsidRPr="0079511E" w:rsidRDefault="003257A2" w:rsidP="003257A2">
      <w:pPr>
        <w:pStyle w:val="Paragraphedeliste"/>
        <w:numPr>
          <w:ilvl w:val="0"/>
          <w:numId w:val="1"/>
        </w:numPr>
        <w:spacing w:after="0"/>
        <w:rPr>
          <w:rFonts w:eastAsiaTheme="minorEastAsia" w:cs="Times-Roman"/>
          <w:sz w:val="24"/>
          <w:szCs w:val="24"/>
        </w:rPr>
      </w:pPr>
      <w:r w:rsidRPr="0079511E">
        <w:rPr>
          <w:rFonts w:eastAsiaTheme="minorEastAsia" w:cs="Times-Roman"/>
          <w:sz w:val="24"/>
          <w:szCs w:val="24"/>
        </w:rPr>
        <w:t>L’annulation de la procédure dans le cadre d’un appel d’offres ou d’un gré à gré après consultation.</w:t>
      </w:r>
    </w:p>
    <w:p w:rsidR="003257A2" w:rsidRPr="003257A2" w:rsidRDefault="003257A2" w:rsidP="003257A2">
      <w:pPr>
        <w:spacing w:after="0"/>
        <w:rPr>
          <w:rFonts w:cs="Times-Roman"/>
          <w:color w:val="000000" w:themeColor="text1"/>
          <w:sz w:val="24"/>
          <w:szCs w:val="24"/>
        </w:rPr>
      </w:pPr>
      <w:r w:rsidRPr="003257A2">
        <w:rPr>
          <w:rFonts w:cs="Times-Roman"/>
          <w:b/>
          <w:bCs/>
          <w:color w:val="000000" w:themeColor="text1"/>
          <w:sz w:val="24"/>
          <w:szCs w:val="24"/>
        </w:rPr>
        <w:t>Les procédures de recours selon les différents modes de passation </w:t>
      </w:r>
    </w:p>
    <w:p w:rsidR="003257A2" w:rsidRPr="003B64C8" w:rsidRDefault="003257A2" w:rsidP="003257A2">
      <w:pPr>
        <w:pStyle w:val="Paragraphedeliste"/>
        <w:numPr>
          <w:ilvl w:val="0"/>
          <w:numId w:val="2"/>
        </w:numPr>
        <w:spacing w:after="0"/>
        <w:rPr>
          <w:rFonts w:eastAsiaTheme="minorEastAsia" w:cs="Times-Roman"/>
          <w:b/>
          <w:color w:val="000000" w:themeColor="text1"/>
          <w:sz w:val="24"/>
          <w:szCs w:val="24"/>
          <w:u w:val="single"/>
        </w:rPr>
      </w:pPr>
      <w:r w:rsidRPr="003B64C8">
        <w:rPr>
          <w:rFonts w:eastAsiaTheme="minorEastAsia" w:cs="Times-Roman"/>
          <w:b/>
          <w:color w:val="000000" w:themeColor="text1"/>
          <w:sz w:val="24"/>
          <w:szCs w:val="24"/>
          <w:u w:val="single"/>
        </w:rPr>
        <w:t>Les Litiges d’Exécution :</w:t>
      </w:r>
    </w:p>
    <w:p w:rsidR="003257A2" w:rsidRPr="003257A2" w:rsidRDefault="003257A2" w:rsidP="003257A2">
      <w:pPr>
        <w:pStyle w:val="Paragraphedeliste"/>
        <w:numPr>
          <w:ilvl w:val="0"/>
          <w:numId w:val="3"/>
        </w:numPr>
        <w:autoSpaceDE w:val="0"/>
        <w:autoSpaceDN w:val="0"/>
        <w:adjustRightInd w:val="0"/>
        <w:spacing w:after="0" w:line="276" w:lineRule="auto"/>
        <w:jc w:val="both"/>
        <w:rPr>
          <w:rFonts w:eastAsiaTheme="minorEastAsia" w:cs="Times-Bold"/>
          <w:b/>
          <w:bCs/>
          <w:color w:val="000000" w:themeColor="text1"/>
          <w:sz w:val="24"/>
          <w:szCs w:val="24"/>
        </w:rPr>
      </w:pPr>
      <w:r w:rsidRPr="003257A2">
        <w:rPr>
          <w:rFonts w:eastAsiaTheme="minorEastAsia" w:cs="Times-Bold"/>
          <w:b/>
          <w:bCs/>
          <w:color w:val="000000" w:themeColor="text1"/>
          <w:sz w:val="24"/>
          <w:szCs w:val="24"/>
        </w:rPr>
        <w:t xml:space="preserve">Le préalable obligatoire  du règlement </w:t>
      </w:r>
      <w:r w:rsidR="003B64C8" w:rsidRPr="003257A2">
        <w:rPr>
          <w:rFonts w:eastAsiaTheme="minorEastAsia" w:cs="Times-Bold"/>
          <w:b/>
          <w:bCs/>
          <w:color w:val="000000" w:themeColor="text1"/>
          <w:sz w:val="24"/>
          <w:szCs w:val="24"/>
        </w:rPr>
        <w:t xml:space="preserve">amiable. </w:t>
      </w:r>
    </w:p>
    <w:p w:rsidR="003257A2" w:rsidRPr="003257A2" w:rsidRDefault="003257A2" w:rsidP="003257A2">
      <w:pPr>
        <w:pStyle w:val="Paragraphedeliste"/>
        <w:numPr>
          <w:ilvl w:val="0"/>
          <w:numId w:val="3"/>
        </w:numPr>
        <w:autoSpaceDE w:val="0"/>
        <w:autoSpaceDN w:val="0"/>
        <w:adjustRightInd w:val="0"/>
        <w:spacing w:after="0" w:line="276" w:lineRule="auto"/>
        <w:jc w:val="both"/>
        <w:rPr>
          <w:rFonts w:ascii="Trebuchet MS" w:eastAsiaTheme="minorEastAsia" w:hAnsi="Trebuchet MS" w:cs="Times-Roman"/>
          <w:color w:val="000000" w:themeColor="text1"/>
          <w:sz w:val="24"/>
          <w:szCs w:val="24"/>
        </w:rPr>
      </w:pPr>
      <w:r w:rsidRPr="003257A2">
        <w:rPr>
          <w:rFonts w:eastAsiaTheme="minorEastAsia" w:cs="Times-Roman"/>
          <w:b/>
          <w:bCs/>
          <w:color w:val="000000" w:themeColor="text1"/>
          <w:sz w:val="24"/>
          <w:szCs w:val="24"/>
        </w:rPr>
        <w:t xml:space="preserve">Le comité de règlement amiable des litiges </w:t>
      </w:r>
    </w:p>
    <w:p w:rsidR="003257A2" w:rsidRPr="0079511E" w:rsidRDefault="003257A2" w:rsidP="003257A2">
      <w:pPr>
        <w:pStyle w:val="Paragraphedeliste"/>
        <w:numPr>
          <w:ilvl w:val="0"/>
          <w:numId w:val="4"/>
        </w:numPr>
        <w:autoSpaceDE w:val="0"/>
        <w:autoSpaceDN w:val="0"/>
        <w:adjustRightInd w:val="0"/>
        <w:spacing w:after="0" w:line="276" w:lineRule="auto"/>
        <w:jc w:val="both"/>
        <w:rPr>
          <w:rFonts w:eastAsiaTheme="minorEastAsia" w:cs="Times-Roman"/>
          <w:sz w:val="24"/>
          <w:szCs w:val="24"/>
        </w:rPr>
      </w:pPr>
      <w:r w:rsidRPr="0079511E">
        <w:rPr>
          <w:rFonts w:eastAsiaTheme="minorEastAsia" w:cs="Times-Roman"/>
          <w:sz w:val="24"/>
          <w:szCs w:val="24"/>
        </w:rPr>
        <w:t>Constitution dans les différentes institutions publiques</w:t>
      </w:r>
      <w:r>
        <w:rPr>
          <w:rFonts w:eastAsiaTheme="minorEastAsia" w:cs="Times-Roman"/>
          <w:sz w:val="24"/>
          <w:szCs w:val="24"/>
        </w:rPr>
        <w:t> ;</w:t>
      </w:r>
    </w:p>
    <w:p w:rsidR="003257A2" w:rsidRPr="0079511E" w:rsidRDefault="003257A2" w:rsidP="003257A2">
      <w:pPr>
        <w:pStyle w:val="Paragraphedeliste"/>
        <w:numPr>
          <w:ilvl w:val="0"/>
          <w:numId w:val="4"/>
        </w:numPr>
        <w:autoSpaceDE w:val="0"/>
        <w:autoSpaceDN w:val="0"/>
        <w:adjustRightInd w:val="0"/>
        <w:spacing w:after="0" w:line="276" w:lineRule="auto"/>
        <w:jc w:val="both"/>
        <w:rPr>
          <w:rFonts w:eastAsiaTheme="minorEastAsia" w:cs="Times-Roman"/>
          <w:sz w:val="24"/>
          <w:szCs w:val="24"/>
        </w:rPr>
      </w:pPr>
      <w:r w:rsidRPr="0079511E">
        <w:rPr>
          <w:rFonts w:eastAsiaTheme="minorEastAsia" w:cs="Times-Roman"/>
          <w:sz w:val="24"/>
          <w:szCs w:val="24"/>
        </w:rPr>
        <w:t>Comp</w:t>
      </w:r>
      <w:r>
        <w:rPr>
          <w:rFonts w:eastAsiaTheme="minorEastAsia" w:cs="Times-Roman"/>
          <w:sz w:val="24"/>
          <w:szCs w:val="24"/>
        </w:rPr>
        <w:t>étence et procédure de saisine.</w:t>
      </w:r>
    </w:p>
    <w:p w:rsidR="003257A2" w:rsidRPr="0079511E" w:rsidRDefault="003257A2" w:rsidP="003257A2">
      <w:pPr>
        <w:pStyle w:val="Paragraphedeliste"/>
        <w:numPr>
          <w:ilvl w:val="0"/>
          <w:numId w:val="4"/>
        </w:numPr>
        <w:autoSpaceDE w:val="0"/>
        <w:autoSpaceDN w:val="0"/>
        <w:adjustRightInd w:val="0"/>
        <w:spacing w:after="0" w:line="276" w:lineRule="auto"/>
        <w:jc w:val="both"/>
        <w:rPr>
          <w:rFonts w:eastAsiaTheme="minorEastAsia" w:cs="Times-Roman"/>
          <w:sz w:val="24"/>
          <w:szCs w:val="24"/>
        </w:rPr>
      </w:pPr>
      <w:r w:rsidRPr="0079511E">
        <w:rPr>
          <w:rFonts w:eastAsiaTheme="minorEastAsia" w:cs="Times-Roman"/>
          <w:sz w:val="24"/>
          <w:szCs w:val="24"/>
        </w:rPr>
        <w:t xml:space="preserve">Nature juridique  et teneur des  </w:t>
      </w:r>
      <w:r w:rsidR="003B64C8" w:rsidRPr="0079511E">
        <w:rPr>
          <w:rFonts w:eastAsiaTheme="minorEastAsia" w:cs="Times-Roman"/>
          <w:sz w:val="24"/>
          <w:szCs w:val="24"/>
        </w:rPr>
        <w:t>décisions</w:t>
      </w:r>
      <w:r w:rsidR="003B64C8">
        <w:rPr>
          <w:rFonts w:eastAsiaTheme="minorEastAsia" w:cs="Times-Roman"/>
          <w:sz w:val="24"/>
          <w:szCs w:val="24"/>
        </w:rPr>
        <w:t>.</w:t>
      </w:r>
    </w:p>
    <w:p w:rsidR="003257A2" w:rsidRPr="007D6CD9" w:rsidRDefault="003257A2" w:rsidP="003257A2">
      <w:pPr>
        <w:autoSpaceDE w:val="0"/>
        <w:autoSpaceDN w:val="0"/>
        <w:adjustRightInd w:val="0"/>
        <w:spacing w:after="0"/>
        <w:jc w:val="both"/>
        <w:rPr>
          <w:rFonts w:ascii="Trebuchet MS" w:hAnsi="Trebuchet MS" w:cs="Times-Roman"/>
          <w:sz w:val="24"/>
          <w:szCs w:val="24"/>
        </w:rPr>
      </w:pPr>
    </w:p>
    <w:p w:rsidR="003257A2" w:rsidRPr="003257A2" w:rsidRDefault="003257A2" w:rsidP="003257A2">
      <w:pPr>
        <w:pStyle w:val="Paragraphedeliste"/>
        <w:numPr>
          <w:ilvl w:val="0"/>
          <w:numId w:val="3"/>
        </w:numPr>
        <w:autoSpaceDE w:val="0"/>
        <w:autoSpaceDN w:val="0"/>
        <w:adjustRightInd w:val="0"/>
        <w:spacing w:after="0" w:line="276" w:lineRule="auto"/>
        <w:rPr>
          <w:rFonts w:eastAsiaTheme="minorEastAsia" w:cs="Times-Bold"/>
          <w:b/>
          <w:color w:val="000000" w:themeColor="text1"/>
          <w:sz w:val="24"/>
          <w:szCs w:val="24"/>
        </w:rPr>
      </w:pPr>
      <w:r w:rsidRPr="003257A2">
        <w:rPr>
          <w:rFonts w:eastAsiaTheme="minorEastAsia" w:cs="Times-Bold"/>
          <w:b/>
          <w:color w:val="000000" w:themeColor="text1"/>
          <w:sz w:val="24"/>
          <w:szCs w:val="24"/>
        </w:rPr>
        <w:t>De l'autorité de régulation des marchés publics et des délégations de service public :</w:t>
      </w:r>
    </w:p>
    <w:p w:rsidR="003257A2" w:rsidRPr="0079511E" w:rsidRDefault="003257A2" w:rsidP="003257A2">
      <w:pPr>
        <w:pStyle w:val="Paragraphedeliste"/>
        <w:numPr>
          <w:ilvl w:val="0"/>
          <w:numId w:val="5"/>
        </w:numPr>
        <w:autoSpaceDE w:val="0"/>
        <w:autoSpaceDN w:val="0"/>
        <w:adjustRightInd w:val="0"/>
        <w:spacing w:after="0" w:line="276" w:lineRule="auto"/>
        <w:rPr>
          <w:rFonts w:eastAsiaTheme="minorEastAsia" w:cs="Times-Roman"/>
          <w:sz w:val="24"/>
          <w:szCs w:val="24"/>
        </w:rPr>
      </w:pPr>
      <w:r>
        <w:rPr>
          <w:rFonts w:eastAsiaTheme="minorEastAsia" w:cs="Times-Roman"/>
          <w:sz w:val="24"/>
          <w:szCs w:val="24"/>
        </w:rPr>
        <w:t>Composition ;</w:t>
      </w:r>
    </w:p>
    <w:p w:rsidR="003257A2" w:rsidRPr="0079511E" w:rsidRDefault="003257A2" w:rsidP="003257A2">
      <w:pPr>
        <w:pStyle w:val="Paragraphedeliste"/>
        <w:numPr>
          <w:ilvl w:val="0"/>
          <w:numId w:val="5"/>
        </w:numPr>
        <w:autoSpaceDE w:val="0"/>
        <w:autoSpaceDN w:val="0"/>
        <w:adjustRightInd w:val="0"/>
        <w:spacing w:after="0" w:line="276" w:lineRule="auto"/>
        <w:jc w:val="both"/>
        <w:rPr>
          <w:rFonts w:eastAsiaTheme="minorEastAsia" w:cs="Times-Roman"/>
          <w:sz w:val="24"/>
          <w:szCs w:val="24"/>
        </w:rPr>
      </w:pPr>
      <w:r w:rsidRPr="0079511E">
        <w:rPr>
          <w:rFonts w:eastAsiaTheme="minorEastAsia" w:cs="Times-Roman"/>
          <w:sz w:val="24"/>
          <w:szCs w:val="24"/>
        </w:rPr>
        <w:t>Les attributions en ma</w:t>
      </w:r>
      <w:r>
        <w:rPr>
          <w:rFonts w:eastAsiaTheme="minorEastAsia" w:cs="Times-Roman"/>
          <w:sz w:val="24"/>
          <w:szCs w:val="24"/>
        </w:rPr>
        <w:t xml:space="preserve">tière de règlement des litiges ; </w:t>
      </w:r>
    </w:p>
    <w:p w:rsidR="003257A2" w:rsidRPr="0079511E" w:rsidRDefault="003257A2" w:rsidP="003257A2">
      <w:pPr>
        <w:pStyle w:val="Paragraphedeliste"/>
        <w:numPr>
          <w:ilvl w:val="0"/>
          <w:numId w:val="6"/>
        </w:numPr>
        <w:autoSpaceDE w:val="0"/>
        <w:autoSpaceDN w:val="0"/>
        <w:adjustRightInd w:val="0"/>
        <w:spacing w:after="0" w:line="276" w:lineRule="auto"/>
        <w:rPr>
          <w:rFonts w:eastAsiaTheme="minorEastAsia" w:cs="Times-Roman"/>
          <w:sz w:val="24"/>
          <w:szCs w:val="24"/>
        </w:rPr>
      </w:pPr>
      <w:r w:rsidRPr="0079511E">
        <w:rPr>
          <w:rFonts w:eastAsiaTheme="minorEastAsia" w:cs="Times-Roman"/>
          <w:sz w:val="24"/>
          <w:szCs w:val="24"/>
        </w:rPr>
        <w:t>Emission d'avis aux c</w:t>
      </w:r>
      <w:r>
        <w:rPr>
          <w:rFonts w:eastAsiaTheme="minorEastAsia" w:cs="Times-Roman"/>
          <w:sz w:val="24"/>
          <w:szCs w:val="24"/>
        </w:rPr>
        <w:t>omités de règlement des litiges ;</w:t>
      </w:r>
    </w:p>
    <w:p w:rsidR="003257A2" w:rsidRPr="0079511E" w:rsidRDefault="003257A2" w:rsidP="003257A2">
      <w:pPr>
        <w:pStyle w:val="Paragraphedeliste"/>
        <w:numPr>
          <w:ilvl w:val="0"/>
          <w:numId w:val="6"/>
        </w:numPr>
        <w:autoSpaceDE w:val="0"/>
        <w:autoSpaceDN w:val="0"/>
        <w:adjustRightInd w:val="0"/>
        <w:spacing w:after="0" w:line="276" w:lineRule="auto"/>
        <w:rPr>
          <w:rFonts w:eastAsiaTheme="minorEastAsia" w:cs="Times-Roman"/>
          <w:sz w:val="24"/>
          <w:szCs w:val="24"/>
        </w:rPr>
      </w:pPr>
      <w:r w:rsidRPr="0079511E">
        <w:rPr>
          <w:rFonts w:eastAsiaTheme="minorEastAsia" w:cs="Times-Roman"/>
          <w:sz w:val="24"/>
          <w:szCs w:val="24"/>
        </w:rPr>
        <w:t>Statue sur les litiges nés de l'exécution des marchés publics conclus avec des partenaires cocontractants étrangers.</w:t>
      </w:r>
    </w:p>
    <w:p w:rsidR="003257A2" w:rsidRPr="007D6CD9" w:rsidRDefault="003257A2" w:rsidP="003257A2">
      <w:pPr>
        <w:autoSpaceDE w:val="0"/>
        <w:autoSpaceDN w:val="0"/>
        <w:adjustRightInd w:val="0"/>
        <w:spacing w:after="0"/>
        <w:rPr>
          <w:rFonts w:ascii="Trebuchet MS" w:hAnsi="Trebuchet MS" w:cs="Times-Roman"/>
          <w:b/>
          <w:bCs/>
          <w:sz w:val="24"/>
          <w:szCs w:val="24"/>
        </w:rPr>
      </w:pPr>
    </w:p>
    <w:p w:rsidR="003257A2" w:rsidRPr="003B64C8" w:rsidRDefault="003257A2" w:rsidP="003257A2">
      <w:pPr>
        <w:pStyle w:val="Paragraphedeliste"/>
        <w:numPr>
          <w:ilvl w:val="0"/>
          <w:numId w:val="2"/>
        </w:numPr>
        <w:autoSpaceDE w:val="0"/>
        <w:autoSpaceDN w:val="0"/>
        <w:adjustRightInd w:val="0"/>
        <w:spacing w:after="0" w:line="276" w:lineRule="auto"/>
        <w:rPr>
          <w:rFonts w:ascii="Trebuchet MS" w:eastAsiaTheme="minorEastAsia" w:hAnsi="Trebuchet MS" w:cs="Times-Roman"/>
          <w:color w:val="000000" w:themeColor="text1"/>
          <w:sz w:val="24"/>
          <w:szCs w:val="24"/>
          <w:u w:val="single"/>
        </w:rPr>
      </w:pPr>
      <w:r w:rsidRPr="003B64C8">
        <w:rPr>
          <w:rFonts w:eastAsiaTheme="minorEastAsia" w:cs="Times-Roman"/>
          <w:b/>
          <w:bCs/>
          <w:color w:val="000000" w:themeColor="text1"/>
          <w:sz w:val="24"/>
          <w:szCs w:val="24"/>
          <w:u w:val="single"/>
        </w:rPr>
        <w:t>Le r</w:t>
      </w:r>
      <w:bookmarkStart w:id="0" w:name="_GoBack"/>
      <w:bookmarkEnd w:id="0"/>
      <w:r w:rsidRPr="003B64C8">
        <w:rPr>
          <w:rFonts w:eastAsiaTheme="minorEastAsia" w:cs="Times-Roman"/>
          <w:b/>
          <w:bCs/>
          <w:color w:val="000000" w:themeColor="text1"/>
          <w:sz w:val="24"/>
          <w:szCs w:val="24"/>
          <w:u w:val="single"/>
        </w:rPr>
        <w:t>èglement des litiges par voie d'arbitrage</w:t>
      </w:r>
      <w:r w:rsidRPr="003B64C8">
        <w:rPr>
          <w:rFonts w:ascii="Trebuchet MS" w:eastAsiaTheme="minorEastAsia" w:hAnsi="Trebuchet MS" w:cs="Times-Roman"/>
          <w:color w:val="000000" w:themeColor="text1"/>
          <w:sz w:val="24"/>
          <w:szCs w:val="24"/>
          <w:u w:val="single"/>
        </w:rPr>
        <w:t>:</w:t>
      </w:r>
    </w:p>
    <w:p w:rsidR="003257A2" w:rsidRDefault="003257A2" w:rsidP="003257A2">
      <w:pPr>
        <w:pStyle w:val="Paragraphedeliste"/>
        <w:numPr>
          <w:ilvl w:val="0"/>
          <w:numId w:val="7"/>
        </w:numPr>
        <w:autoSpaceDE w:val="0"/>
        <w:autoSpaceDN w:val="0"/>
        <w:adjustRightInd w:val="0"/>
        <w:spacing w:after="0" w:line="276" w:lineRule="auto"/>
        <w:rPr>
          <w:rFonts w:ascii="Trebuchet MS" w:eastAsiaTheme="minorEastAsia" w:hAnsi="Trebuchet MS" w:cs="Times-Roman"/>
          <w:sz w:val="24"/>
          <w:szCs w:val="24"/>
        </w:rPr>
      </w:pPr>
      <w:r w:rsidRPr="003257A2">
        <w:rPr>
          <w:rFonts w:ascii="Trebuchet MS" w:eastAsiaTheme="minorEastAsia" w:hAnsi="Trebuchet MS" w:cs="Times-Roman"/>
          <w:color w:val="000000" w:themeColor="text1"/>
          <w:sz w:val="24"/>
          <w:szCs w:val="24"/>
        </w:rPr>
        <w:t xml:space="preserve"> </w:t>
      </w:r>
      <w:r>
        <w:rPr>
          <w:rFonts w:eastAsiaTheme="minorEastAsia" w:cs="Times-Roman"/>
          <w:sz w:val="24"/>
          <w:szCs w:val="24"/>
        </w:rPr>
        <w:t xml:space="preserve">Dans </w:t>
      </w:r>
      <w:r w:rsidRPr="00B8764B">
        <w:rPr>
          <w:rFonts w:eastAsiaTheme="minorEastAsia" w:cs="Times-Roman"/>
          <w:sz w:val="24"/>
          <w:szCs w:val="24"/>
        </w:rPr>
        <w:t xml:space="preserve">  le code de procédure civile et </w:t>
      </w:r>
      <w:r w:rsidR="003B64C8" w:rsidRPr="00B8764B">
        <w:rPr>
          <w:rFonts w:eastAsiaTheme="minorEastAsia" w:cs="Times-Roman"/>
          <w:sz w:val="24"/>
          <w:szCs w:val="24"/>
        </w:rPr>
        <w:t>administrative.</w:t>
      </w:r>
    </w:p>
    <w:p w:rsidR="003257A2" w:rsidRPr="003257A2" w:rsidRDefault="003257A2" w:rsidP="003257A2">
      <w:pPr>
        <w:pStyle w:val="Paragraphedeliste"/>
        <w:numPr>
          <w:ilvl w:val="0"/>
          <w:numId w:val="7"/>
        </w:numPr>
        <w:autoSpaceDE w:val="0"/>
        <w:autoSpaceDN w:val="0"/>
        <w:adjustRightInd w:val="0"/>
        <w:spacing w:after="0" w:line="276" w:lineRule="auto"/>
        <w:rPr>
          <w:rFonts w:ascii="Trebuchet MS" w:eastAsiaTheme="minorEastAsia" w:hAnsi="Trebuchet MS" w:cs="Times-Roman"/>
          <w:color w:val="000000" w:themeColor="text1"/>
          <w:sz w:val="24"/>
          <w:szCs w:val="24"/>
        </w:rPr>
      </w:pPr>
      <w:r w:rsidRPr="003257A2">
        <w:rPr>
          <w:rFonts w:eastAsiaTheme="minorEastAsia" w:cs="Times-Roman"/>
          <w:sz w:val="24"/>
          <w:szCs w:val="24"/>
        </w:rPr>
        <w:t>Dans le  code des marchés publics.</w:t>
      </w:r>
      <w:r w:rsidRPr="003257A2">
        <w:rPr>
          <w:rFonts w:ascii="Trebuchet MS" w:hAnsi="Trebuchet MS" w:cs="Times-Roman"/>
          <w:color w:val="000000" w:themeColor="text1"/>
          <w:sz w:val="24"/>
          <w:szCs w:val="24"/>
        </w:rPr>
        <w:t xml:space="preserve">                                                                                                                                          </w:t>
      </w:r>
    </w:p>
    <w:p w:rsidR="003257A2" w:rsidRPr="00B8764B" w:rsidRDefault="003257A2" w:rsidP="003257A2">
      <w:pPr>
        <w:pStyle w:val="Paragraphedeliste"/>
        <w:numPr>
          <w:ilvl w:val="0"/>
          <w:numId w:val="7"/>
        </w:numPr>
        <w:autoSpaceDE w:val="0"/>
        <w:autoSpaceDN w:val="0"/>
        <w:adjustRightInd w:val="0"/>
        <w:spacing w:after="0" w:line="276" w:lineRule="auto"/>
        <w:rPr>
          <w:rFonts w:eastAsiaTheme="minorEastAsia" w:cs="Times-Roman"/>
          <w:sz w:val="24"/>
          <w:szCs w:val="24"/>
        </w:rPr>
      </w:pPr>
      <w:r w:rsidRPr="00B8764B">
        <w:rPr>
          <w:rFonts w:eastAsiaTheme="minorEastAsia" w:cs="Times-Roman"/>
          <w:sz w:val="24"/>
          <w:szCs w:val="24"/>
        </w:rPr>
        <w:t>Le cas particuliers  des marchés publics impliquant des opérateurs étrangers ;</w:t>
      </w:r>
    </w:p>
    <w:p w:rsidR="003257A2" w:rsidRDefault="003257A2" w:rsidP="003257A2">
      <w:pPr>
        <w:spacing w:after="0"/>
        <w:ind w:left="825"/>
        <w:rPr>
          <w:rFonts w:ascii="Trebuchet MS" w:hAnsi="Trebuchet MS" w:cs="Times-Roman"/>
          <w:sz w:val="24"/>
          <w:szCs w:val="24"/>
        </w:rPr>
      </w:pPr>
    </w:p>
    <w:p w:rsidR="003257A2" w:rsidRPr="00D558C1" w:rsidRDefault="003257A2" w:rsidP="003257A2">
      <w:pPr>
        <w:spacing w:after="0" w:line="240" w:lineRule="auto"/>
        <w:rPr>
          <w:rFonts w:cs="Times New Roman"/>
          <w:color w:val="1F497D"/>
        </w:rPr>
      </w:pPr>
    </w:p>
    <w:p w:rsidR="003257A2" w:rsidRPr="00D558C1" w:rsidRDefault="003257A2" w:rsidP="003257A2">
      <w:pPr>
        <w:bidi/>
        <w:ind w:left="360"/>
        <w:jc w:val="right"/>
        <w:rPr>
          <w:rFonts w:ascii="Trebuchet MS" w:hAnsi="Trebuchet MS" w:cs="Times-Roman"/>
          <w:sz w:val="24"/>
          <w:szCs w:val="24"/>
        </w:rPr>
      </w:pPr>
    </w:p>
    <w:p w:rsidR="003257A2" w:rsidRPr="00F559B7" w:rsidRDefault="003257A2" w:rsidP="003257A2">
      <w:pPr>
        <w:shd w:val="clear" w:color="auto" w:fill="FFFFFF"/>
        <w:jc w:val="both"/>
        <w:rPr>
          <w:rFonts w:ascii="Arial" w:eastAsia="Times New Roman" w:hAnsi="Arial" w:cs="Arial"/>
          <w:color w:val="333333"/>
        </w:rPr>
      </w:pPr>
    </w:p>
    <w:p w:rsidR="00C328FC" w:rsidRDefault="00C328FC" w:rsidP="00C328FC"/>
    <w:p w:rsidR="00C328FC" w:rsidRDefault="00C328FC" w:rsidP="00BA467C"/>
    <w:sectPr w:rsidR="00C328FC" w:rsidSect="005A2E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F6D" w:rsidRDefault="00886F6D" w:rsidP="003B64C8">
      <w:pPr>
        <w:spacing w:after="0" w:line="240" w:lineRule="auto"/>
      </w:pPr>
      <w:r>
        <w:separator/>
      </w:r>
    </w:p>
  </w:endnote>
  <w:endnote w:type="continuationSeparator" w:id="0">
    <w:p w:rsidR="00886F6D" w:rsidRDefault="00886F6D" w:rsidP="003B6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8" w:rsidRDefault="003B64C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8" w:rsidRDefault="003B64C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8" w:rsidRDefault="003B64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F6D" w:rsidRDefault="00886F6D" w:rsidP="003B64C8">
      <w:pPr>
        <w:spacing w:after="0" w:line="240" w:lineRule="auto"/>
      </w:pPr>
      <w:r>
        <w:separator/>
      </w:r>
    </w:p>
  </w:footnote>
  <w:footnote w:type="continuationSeparator" w:id="0">
    <w:p w:rsidR="00886F6D" w:rsidRDefault="00886F6D" w:rsidP="003B6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8" w:rsidRDefault="003B64C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1288"/>
      <w:docPartObj>
        <w:docPartGallery w:val="Watermarks"/>
        <w:docPartUnique/>
      </w:docPartObj>
    </w:sdtPr>
    <w:sdtContent>
      <w:p w:rsidR="003B64C8" w:rsidRDefault="003B64C8">
        <w:pPr>
          <w:pStyle w:val="En-tte"/>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13" o:spid="_x0000_s4097" type="#_x0000_t136" style="position:absolute;margin-left:0;margin-top:0;width:365.45pt;height:274.05pt;rotation:315;z-index:-251656192;mso-position-horizontal:center;mso-position-horizontal-relative:margin;mso-position-vertical:center;mso-position-vertical-relative:margin" o:allowincell="f" fillcolor="silver" stroked="f">
              <v:fill opacity=".5"/>
              <v:textpath style="font-family:&quot;Calibri&quot;;font-size:1pt" string="CCIR"/>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8" w:rsidRDefault="003B64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2777"/>
      </v:shape>
    </w:pict>
  </w:numPicBullet>
  <w:abstractNum w:abstractNumId="0">
    <w:nsid w:val="20854C47"/>
    <w:multiLevelType w:val="hybridMultilevel"/>
    <w:tmpl w:val="258CC44A"/>
    <w:lvl w:ilvl="0" w:tplc="040C0007">
      <w:start w:val="1"/>
      <w:numFmt w:val="bullet"/>
      <w:lvlText w:val=""/>
      <w:lvlPicBulletId w:val="0"/>
      <w:lvlJc w:val="left"/>
      <w:pPr>
        <w:ind w:left="107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320E64"/>
    <w:multiLevelType w:val="hybridMultilevel"/>
    <w:tmpl w:val="145C664E"/>
    <w:lvl w:ilvl="0" w:tplc="32D0DE66">
      <w:start w:val="1"/>
      <w:numFmt w:val="decimal"/>
      <w:lvlText w:val="%1."/>
      <w:lvlJc w:val="left"/>
      <w:pPr>
        <w:ind w:left="786" w:hanging="360"/>
      </w:pPr>
      <w:rPr>
        <w:rFonts w:asciiTheme="minorHAnsi" w:hAnsiTheme="minorHAnsi" w:hint="default"/>
        <w:b/>
        <w:color w:val="FF000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6DE2973"/>
    <w:multiLevelType w:val="hybridMultilevel"/>
    <w:tmpl w:val="10CCCBA6"/>
    <w:lvl w:ilvl="0" w:tplc="51EC4C4A">
      <w:start w:val="1"/>
      <w:numFmt w:val="upperRoman"/>
      <w:lvlText w:val="%1."/>
      <w:lvlJc w:val="right"/>
      <w:pPr>
        <w:ind w:left="720" w:hanging="360"/>
      </w:pPr>
      <w:rPr>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35250D"/>
    <w:multiLevelType w:val="hybridMultilevel"/>
    <w:tmpl w:val="4B80DE42"/>
    <w:lvl w:ilvl="0" w:tplc="040C0007">
      <w:start w:val="1"/>
      <w:numFmt w:val="bullet"/>
      <w:lvlText w:val=""/>
      <w:lvlPicBulletId w:val="0"/>
      <w:lvlJc w:val="left"/>
      <w:pPr>
        <w:ind w:left="1545" w:hanging="360"/>
      </w:pPr>
      <w:rPr>
        <w:rFonts w:ascii="Symbol" w:hAnsi="Symbol" w:hint="default"/>
      </w:rPr>
    </w:lvl>
    <w:lvl w:ilvl="1" w:tplc="040C0003">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4">
    <w:nsid w:val="49F618D0"/>
    <w:multiLevelType w:val="hybridMultilevel"/>
    <w:tmpl w:val="CF7C6A48"/>
    <w:lvl w:ilvl="0" w:tplc="040C0007">
      <w:start w:val="1"/>
      <w:numFmt w:val="bullet"/>
      <w:lvlText w:val=""/>
      <w:lvlPicBulletId w:val="0"/>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5">
    <w:nsid w:val="6D6C0B07"/>
    <w:multiLevelType w:val="hybridMultilevel"/>
    <w:tmpl w:val="D2D83292"/>
    <w:lvl w:ilvl="0" w:tplc="040C0001">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6">
    <w:nsid w:val="70CD37A6"/>
    <w:multiLevelType w:val="hybridMultilevel"/>
    <w:tmpl w:val="31E0D5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467C"/>
    <w:rsid w:val="003257A2"/>
    <w:rsid w:val="003B64C8"/>
    <w:rsid w:val="005A2E51"/>
    <w:rsid w:val="00886F6D"/>
    <w:rsid w:val="00A30E52"/>
    <w:rsid w:val="00BA467C"/>
    <w:rsid w:val="00C328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57A2"/>
    <w:pPr>
      <w:spacing w:after="160" w:line="259" w:lineRule="auto"/>
      <w:ind w:left="720"/>
      <w:contextualSpacing/>
    </w:pPr>
    <w:rPr>
      <w:rFonts w:eastAsiaTheme="minorHAnsi"/>
      <w:lang w:eastAsia="en-US"/>
    </w:rPr>
  </w:style>
  <w:style w:type="paragraph" w:styleId="En-tte">
    <w:name w:val="header"/>
    <w:basedOn w:val="Normal"/>
    <w:link w:val="En-tteCar"/>
    <w:uiPriority w:val="99"/>
    <w:semiHidden/>
    <w:unhideWhenUsed/>
    <w:rsid w:val="003B64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64C8"/>
  </w:style>
  <w:style w:type="paragraph" w:styleId="Pieddepage">
    <w:name w:val="footer"/>
    <w:basedOn w:val="Normal"/>
    <w:link w:val="PieddepageCar"/>
    <w:uiPriority w:val="99"/>
    <w:semiHidden/>
    <w:unhideWhenUsed/>
    <w:rsid w:val="003B64C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64C8"/>
  </w:style>
</w:styles>
</file>

<file path=word/webSettings.xml><?xml version="1.0" encoding="utf-8"?>
<w:webSettings xmlns:r="http://schemas.openxmlformats.org/officeDocument/2006/relationships" xmlns:w="http://schemas.openxmlformats.org/wordprocessingml/2006/main">
  <w:divs>
    <w:div w:id="7298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Packard Bell</cp:lastModifiedBy>
  <cp:revision>2</cp:revision>
  <dcterms:created xsi:type="dcterms:W3CDTF">2017-04-03T10:12:00Z</dcterms:created>
  <dcterms:modified xsi:type="dcterms:W3CDTF">2017-04-03T10:12:00Z</dcterms:modified>
</cp:coreProperties>
</file>